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4652bfa8084193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9232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VLADIMIRA NAZORA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VI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679.265,91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716.143,69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749.211,49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704.022,95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12.120,74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2.587,52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3.992,57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2.587,52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3.992,57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154,3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8.128,17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Prihodi poslovanja su za 5,4 % veći u odnosu na prošlu godinu, a rashodi poslovanja su manji za 6 % .Rashodi za nabavu nefinancijske imovine povećani su za 54,3 % u odnosu na prošlu godinu.Postojala je potreba za većom nabavom nefinancijske imovine.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2.820,00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 Povećana donacija općina  za nabavu osnovnih sredstava.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3.301,00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5.898,00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178,7</w:t>
            </w:r>
          </w:p>
        </w:tc>
      </w:tr>
    </w:tbl>
    <w:p>
      <w:pPr>
        <w:spacing w:before="0" w:after="0"/>
      </w:pPr>
    </w:p>
    <w:p>
      <w:r>
        <w:t xml:space="preserve">Povećan je broj sati  najma sportske dvorane.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kraju izvještajnog razdoblja nememo dospjelih obveza, niti prekoračenja rokova plaćanja obaveza.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f83a5dd15e4eb8" /></Relationships>
</file>